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134</w:t>
      </w:r>
    </w:p>
    <w:p>
      <w:r>
        <w:t>Bundesgericht (BGE), 2014-02-27, DE</w:t>
      </w:r>
    </w:p>
    <w:p>
      <w:r>
        <w:rPr>
          <w:b/>
        </w:rPr>
        <w:t xml:space="preserve">Quelle: </w:t>
      </w:r>
      <w:r>
        <w:t>https://mcp.opencaselaw.ch/entscheid/bge_140 III 134</w:t>
      </w:r>
    </w:p>
    <w:p>
      <w:r>
        <w:t>FR: ATF 140 III 134</w:t>
      </w:r>
    </w:p>
    <w:p>
      <w:r>
        <w:t>IT: DTF 140 III 134</w:t>
      </w:r>
    </w:p>
    <w:p>
      <w:pPr>
        <w:pStyle w:val="Heading2"/>
      </w:pPr>
      <w:r>
        <w:t>Regeste</w:t>
      </w:r>
    </w:p>
    <w:p>
      <w:r>
        <w:t>Regeste Art. 178 Abs. 2 und Art. 190 Abs. 2 lit. b IPRG; Auslegung einer Schiedsvereinbarung. Beurteilung der objektiven Tragweite einer Schiedsvereinbarung unter Berücksichtigung des Grundsatzes der Autonomie der Schiedsklausel (E. 3).</w:t>
      </w:r>
    </w:p>
    <w:p>
      <w:pPr>
        <w:pStyle w:val="Heading2"/>
      </w:pPr>
      <w:r>
        <w:t>Erwägungen</w:t>
      </w:r>
    </w:p>
    <w:p>
      <w:r>
        <w:rPr>
          <w:b/>
        </w:rPr>
        <w:t>E. 3</w:t>
      </w:r>
    </w:p>
    <w:p>
      <w:r>
        <w:t>Die Beschwerdeführerin macht geltend, das Schiedsgericht habe sich zu Unrecht für zuständig erklärt ( Art. 190 Abs. 2 lit. b IPRG [SR 291]), da die konkrete Streitsache von der abgeschlossenen Schiedsvereinbarung nicht erfasst sei.</w:t>
      </w:r>
    </w:p>
    <w:p>
      <w:r>
        <w:rPr>
          <w:b/>
        </w:rPr>
        <w:t>E. 3.1</w:t>
      </w:r>
    </w:p>
    <w:p>
      <w:r>
        <w:t>Das Bundesgericht prüft die Zuständigkeitsrüge nach Art. 190 Abs. 2 lit. b IPRG in rechtlicher Hinsicht frei, einschliesslich materieller Vorfragen, von deren Beantwortung die Zuständigkeit abhängt ( BGE 138 III 29 E. 2.2.1 S. 34; BGE 134 III 565 E. 3.1 S. 567; BGE 133 III 139 E. 5 S. 141). 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130 III 66 E. 3.1 S. 70). Entscheidend ist, dass der Wille der Parteien zum Ausdruck kommt, über bestimmte Streitigkeiten ein Schiedsgericht, d.h. ein nichtstaatliches Gericht, entscheiden zu lassen ( BGE 138 III 29 E. 2.2.3 S. 35; BGE 129 III 675 E. 2.3 S. 679 f.). Die objektive Tragweite einer Schiedsvereinbarung beurteilt sich gemäss Art. 178 Abs. 2 IPRG nach dem von den Parteien gewählten, dem auf die Streitsache, insbesondere dem auf den Hauptvertrag anwendbaren oder dem schweizerischen Recht (DIETER GRÄNICHER, in: Basler Kommentar, Internationales Privatrecht, 3. Aufl. 2013, N. 25 zu Art. 178 IPRG ; PIERRE-YVES TSCHANZ, in: Commentaire romand, Loi sur le droit international privé, 2011, N. 56 und 85 zu Art. 178 IPRG ; POUDRET/BESSON, Comparative Law of International Arbitration, 2. Aufl. 2007, Rz. 295). Das Schiedsgericht legte die abgeschlossene Schiedsvereinbarung daher zutreffend nach schweizerischem Recht aus.</w:t>
      </w:r>
    </w:p>
    <w:p>
      <w:r>
        <w:rPr>
          <w:b/>
        </w:rPr>
        <w:t>E. 3.2</w:t>
      </w:r>
    </w:p>
    <w:p>
      <w:r>
        <w:t>Die Auslegung einer Schiedsvereinbarung folgt den für die Auslegung privater Willenserklärungen allgemein geltenden Grundsätzen. Massgebend ist danach in erster Linie der übereinstimmende tatsächliche Wille der Parteien ( BGE 130 III 66 E. 3.2 S. 71 mit Hinweisen). Kann ein solcher nicht festgestellt werden, ist die Schiedsvereinbarung nach dem Vertrauensprinzip auszulegen, d.h. der mutmassliche Parteiwille ist so zu ermitteln, wie er vom jeweiligen BGE 140 III 134 S. 139 Erklärungsempfänger nach den gesamten Umständen nach Treu und Glauben verstanden werden durfte und musste ( BGE 138 III 29 E. 2.2.3; BGE 135 III 295 E. 5.2 S. 302; BGE 130 III 66 E. 3.2 S. 71; BGE 129 III 675 E. 2.3 S. 680). Dabei hat das Gericht zu berücksichtigen, was sachgerecht ist, weil nicht anzunehmen ist, dass die Parteien eine unangemessene Lösung gewollt haben ( BGE 122 III 420 E. 3a S. 424; BGE 117 II 609 E. 6c S. 621; vgl. auch BGE 133 III 607 E. 2.2 S. 610).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136 III 186 E. 3.2.1 S. 188; BGE 131 III 606 E. 4.2 S. 611 f.; BGE 129 III 702 E. 2.4.1 S. 707; je mit Hinweisen).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(vgl. BGE 138 III 29 E. 2.3.1 S. 36 f.; BGE 129 III 675 E. 2.3 S. 680 f.; BGE 128 III 50 S. 58 E. 2c/aa). Steht demgegenüber fest, dass eine Schiedsvereinbarung vorliegt, besteht kein Anlass zu einer restriktiven Auslegung; vielmehr ist davon auszugehen, dass die Parteien eine umfassende Zuständigkeit des Schiedsgerichts wünschten ( BGE 138 III 681 E. 4.4 S. 687; BGE 116 Ia 56 E. 3b; je mit Hinweisen).</w:t>
      </w:r>
    </w:p>
    <w:p>
      <w:r>
        <w:rPr>
          <w:b/>
        </w:rPr>
        <w:t>E. 3.3.1</w:t>
      </w:r>
    </w:p>
    <w:p>
      <w:r>
        <w:t>Die Beschwerdeführerin stellt nicht in Frage, dass die Parteien mit Ziffer 11 des Patentlizenzvertrags eine gültige Schiedsklausel abgeschlossen haben. Sie stellt sich vielmehr auf den Standpunkt, die Kündigung nach Ziffer 8.2 führe gemäss Ziffer 8.3 Abs. 1 des Lizenzvertrags dazu, dass sämtliche Rechte und Pflichten der Parteien - einschliesslich der Streitbeilegung durch ein Schiedsgericht - auf den Zeitpunkt der Kündigung hin endeten. Aus Ziffer 8.2 lit. f und Ziffer 8.3 lit. d ergebe sich, dass die Parteien die schiedsgerichtliche Zuständigkeit im Sinne einer auflösenden Bedingung vom Vertragsablauf oder (alternativ) von der Vertragskündigung abhängig machen wollten. Ihre auf das US-Patent Nr. q Bezug nehmende Vertragskündigung vom 31. Juli 2010 sei am 6. August 2010 wirksam geworden und habe somit gemäss Ziffer 8.3 Abs. 1 des Lizenzvertrags dazu geführt, dass auch die Verpflichtung, allfällige BGE 140 III 134 S. 140 Streitigkeiten diesbezüglich einem Schiedsgericht zu unterbreiten, beendet worden sei. Da es sich vorliegend nicht um eine Streitigkeit oder Meinungsverschiedenheit handle, die vor dem Kündigungszeitpunkt entstanden sei, lasse sich eine Zuständigkeit des Schiedsgerichts nicht auf die im abgeschlossenen Patentlizenzvertrag enthaltene Schiedsklausel stützen.</w:t>
      </w:r>
    </w:p>
    <w:p>
      <w:r>
        <w:rPr>
          <w:b/>
        </w:rPr>
        <w:t>E. 3.3.2</w:t>
      </w:r>
    </w:p>
    <w:p>
      <w:r>
        <w:t>Nachdem das Schiedsgericht hinsichtlich der Tragweite der Schiedsvereinbarung keinen tatsächlich übereinstimmenden Parteiwillen feststellen konnte, hat es diese zutreffend nach dem Vertrauensprinzip ausgelegt. Da ausserdem unbestritten ist, dass eine gültige Schiedsvereinbarung vorliegt, besteht entgegen der Ansicht der Beschwerdeführerin kein Anlass zu einer restriktiven Auslegung; vielmehr ist grundsätzlich davon auszugehen, dass die Parteien eine umfassende Zuständigkeit des Schiedsgerichts wünschten ( BGE 138 III 681 E. 4.4 S. 687; BGE 116 Ia 56 E. 3b; je mit Hinweisen). Ziffer 11 des Patentlizenzvertrags ist hinsichtlich der objektiven Tragweite der Schiedsklausel weit gefasst: Einem Schiedsgericht zu unterbreiten sind danach sämtliche Meinungsverschiedenheiten bzw. Rechtsstreitigkeiten zwischen den Parteien, die sich aus oder im Zusammenhang mit den Bestimmungen des Vertrags ergeben ("any dispute or disagreement between them relating to or arising out of any provision of this Agreement"). Eine solche Umschreibung ist in der Regel so zu verstehen, dass die Parteien nicht wünschten, über die aus ihrer vertraglich geregelten Beziehung resultierenden Ansprüche je nach Rechtstitel vor dem Schiedsgericht oder vor staatlichen Gerichten zu prozessieren; im Sinne des mutmasslichen Parteiwillens ist vielmehr davon auszugehen, dass sie alle Ansprüche, die sich aus dem vom Vertrag geregelten Sachverhalt ergeben oder diesen unmittelbar berühren, der ausschliesslichen Zuständigkeit des Schiedsgerichts zuweisen wollten ( BGE 138 III 681 E. 4.4 S. 687 mit Hinweisen). Insbesondere umfasst eine solche Schiedsklausel grundsätzlich neben Streitigkeiten über das Zustandekommen und die Wirksamkeit des Vertrags auch solche über die aus der Vertragsbeendigung allenfalls resultierenden Ansprüche (GRÄNICHER, a.a.O., N. 35 zu Art. 178 IPRG ; Urteil 4A_452/2007 vom 29. Februar 2008 E. 2.5.1). Dies in Übereinstimmung mit dem Grundsatz der Autonomie der Schiedsvereinbarung, wonach der Hauptvertrag hinsichtlich seines Zustandekommens, seiner Gültigkeit oder Beendigung nicht das gleiche Schicksal wie die Schiedsvereinbarung hat (vgl. BGE 140 III 134 S. 141 BGE 121 III 495 E. 5a S. 497; BGE 119 II 380 E. 4a S. 384; BGE 116 Ia 56 E. 3b S. 59; je mit Hinweisen).</w:t>
      </w:r>
    </w:p>
    <w:p>
      <w:r>
        <w:rPr>
          <w:b/>
        </w:rPr>
        <w:t>E. 3.3.3</w:t>
      </w:r>
    </w:p>
    <w:p>
      <w:r>
        <w:t>Die Rechtsstreitigkeit über die gestützt auf Ziffer 8.2 lit. e des Lizenzvertrags eingeklagten Ansprüche auf Schadenersatz und Unterlassung der Produktion sowie des Vertriebs patentverletzender Produkte sind demnach von der weit umschriebenen Zuständigkeit des Schiedsgerichts nach Ziffer 11 erfasst, was auch die Beschwerdeführerin nicht grundsätzlich in Abrede stellt. Sie beruft sich jedoch auf zwei weitere Vertragsbestimmungen, in denen die Schiedsklausel erwähnt wird, und leitet daraus eine zeitliche Begrenzung der Schiedsklausel auf Streitigkeiten ab, die vor der Kündigung des Vertrags entstanden sind: Ziffer 8.2 lit. f und Ziffer 8.3 lit. d nehmen unter der gemeinsamen Überschrift "Term and Termination" jeweils Bezug auf Ziffer 11 des Patentlizenzvertrags. Nach dem erwähnten Grundsatz der Autonomie der Schiedsvereinbarung ist grundsätzlich davon auszugehen, dass die in einem Vertrag enthaltene Schiedsklausel durch den Ablauf der Vertragsdauer oder die Kündigung des Hauptvertrags nicht berührt wird. Eine gegenteilige Abrede ist nicht leichthin anzunehmen, sondern müsste sich aus der Vereinbarung klar ergeben, wie das Schiedsgericht zutreffend erwogen hat. Entgegen der Ansicht der Beschwerdeführerin lässt sich aus Ziffer 8 des Lizenzvertrags nach Treu und Glauben kein mutmasslicher Parteiwille ableiten, die Zuständigkeit des Schiedsgerichts mit der Beendigung bzw. Kündigung des Vertrags dahinfallen zu lassen. Mit Ziffer 8.2 lit. f wird in Übereinstimmung mit dem erwähnten Autonomiegrundsatz zunächst vielmehr bestätigt, dass die Schiedsklausel nach Ziffer 11 von der Beendigung des Vertrags infolge Ablaufs bzw. Kündigung nicht betroffen ist. Zwar könnte eine isolierte Betrachtung des Wortlauts von Ziffer 8.2 lit. f ("[...] resolution of any matter arising prior to such expiration or termination") den Eindruck erwecken, die Möglichkeit einer schiedsgerichtlichen Beurteilung allfälliger Streitigkeiten werde in zeitlicher Hinsicht beschränkt. Angesichts der ausführlichen und weit gefassten Schiedsklausel in Ziffer 11, der sich kein Hinweis auf eine sachliche oder zeitliche Einschränkung entnehmen lässt, ist jedoch nach Treu und Glauben nicht davon auszugehen, dass die Parteien die Schiedsklausel mit der in der Kündigungsbestimmung enthaltenen Formulierung unter die auflösende Bedingung des Vertragsablaufs bzw. der Kündigung stellen wollten. Vielmehr ist anzunehmen, dass damit einzig bekräftigt werden sollte, dass die Beendigung des BGE 140 III 134 S. 142 Lizenzvertrags die darin enthaltene Schiedsklausel nicht berührt, worauf auch die negative Formulierung der Einleitung von Ziffer 8.2 lit. f ("Expiration or termination of this Agreement shall not affect the ability of any Party to seek resolution [...]") hindeutet. Angesichts des Grundsatzes der Autonomie der Schiedsvereinbarung fällt die Schiedsklausel nach Ziffer 11 nicht ohne Weiteres unter die in Ziffer 8.3 Abs. 1 des Lizenzvertrags enthaltene Regelung, wonach alle Rechte und Verpflichtungen der Parteien mit Beendigung des Vertrags infolge Ablaufs oder Kündigung dahinfallen. Die Auffassung der Beschwerdeführerin, mit Ziffer 8.3 lit. d werde eine durch Kündigung des Vertrags nach Ziffer 8.3 Abs. 1 untergegangene Zuständigkeit des Schiedsgerichts bezüglich ganz bestimmter Streitigkeiten ausnahmsweise wieder zum Leben erweckt, überzeugt nicht. Der in der Beschwerde vertretene Umkehrschluss, nach dem infolge der einschränkenden Umschreibung in Ziffer 8.3 lit. d alle weiteren Rechtsstreitigkeiten einem staatlichen Gericht zu unterbreiten wären, drängt sich ausserdem auch deshalb nicht auf, weil in der Bestimmung zum Weiterbestehen vertraglicher Rechte in Ziffer 8.3 lit. f selbst festgehalten wird, dass neben den ausdrücklich aufgeführten auch weitere Rechte und Pflichten bzw. Vertragsbestimmungen nach einer Kündigung erhalten bleiben, soweit deren Fortbestehen vernünftigerweise zu erwarten ist. Der Vorwurf, das Schiedsgericht habe die Vertragssystematik ausser Acht gelassen, erweist sich insoweit als unbegründet. Der Hinweis in Ziffer 8.3 lit. d auf das Weiterbestehen der vertraglich vorgesehenen Verfahren zur Streiterledigung dient demnach ebenfalls der Klarstellung eines an sich bereits bestehenden Rechtszustands, weshalb die blosse Verwendung einer im Vergleich zu Ziffer 11 engeren Formulierung nach Treu und Glauben nicht als Einschränkung der Tragweite der Schiedsklausel in sachlicher oder zeitlicher Hinsicht aufzufassen ist.</w:t>
      </w:r>
    </w:p>
    <w:p>
      <w:r>
        <w:rPr>
          <w:b/>
        </w:rPr>
        <w:t>E. 3.3.4</w:t>
      </w:r>
    </w:p>
    <w:p>
      <w:r>
        <w:t>Wie das Schiedsgericht zu Recht erwog, würde die von der Beschwerdeführerin für zutreffend erachtete Auslegung zu wenig sachgerechten Ergebnissen führen: So wären etwa Streitigkeiten über Lizenzgebühren, die vor einer Kündigung fällig wurden, dem Schiedsgericht zu unterbreiten, während ein nach der Kündigung entstandener Streit über Lizenzgebühren, die gemäss Ziffer 8.2 lit. e während der 180-tägigen Frist für den Lagerabverkauf anfallen und nach Ziffer 8.3 lit. a ausdrücklich als Ansprüche erwähnt werden, die nach einer Kündigung fortbestehen, von einem - nicht näher bestimmten - staatlichen Gericht zu entscheiden wäre. BGE 140 III 134 S. 143 Allgemein würde die Annahme des Untergangs der Schiedsklausel infolge Kündigung des Vertrags beträchtliche Unwägbarkeiten mit sich bringen, zumal zwischen den Vertragsparteien häufig gerade die Wirksamkeit der Kündigung, deren Zeitpunkt und deren Folgen umstritten sind, wie sich auch im vorliegenden Rechtsstreit zeigt. Die Vereinbarung einer Zuständigkeitsregelung, die vom Zeitpunkt und der Gültigkeit der Kündigung des Hauptvertrags abhängig gemacht wird, erscheint daher als umständlich und problembehaftet, müsste doch die Erkenntnis des vertraglich vorgesehenen Schiedsgerichts, die ausgesprochene Kündigung sei gültig, zu seiner Unzuständigkeit führen und einen schiedsgerichtlichen Entscheid über die Kündigung bzw. deren Folgen verunmöglichen. Dies wiederum würde die Parteien dazu veranlassen, zunächst an ein staatliches Gericht zu gelangen, um zu klären, ob der Vertrag noch besteht, und sich - falls dies zutrifft - auf die Schiedsklausel zu berufen. Ein solches Ergebnis stünde im Widerspruch zu der in der Schiedsklausel zum Ausdruck gebrachten Absicht der Parteien, allfällige Streitigkeiten einem bestimmten Mechanismus der Streiterledigung zu unterwerfen (illustrativ etwa das Urteil des Supreme Court of Western Australia vom 17. Januar 2014 i.S. Pipeline Services WA Pty Ltd vs. ATCO Gas Australia Pty Ltd , [2014] WASC 10 Rz. 47 ff.). Nicht weniger schwierig zu handhaben wäre die von der Beschwerdeführerin vertretene Abgrenzung zwischen privater und staatlicher Gerichtsbarkeit, die zusätzlich zur Wirksamkeit der Kündigung auch auf den Zeitpunkt des Entstehens einer Streitigkeit abstellt. Auch ist nicht von der Hand zu weisen, dass eine solche Abgrenzung Raum dazu bieten würde, eine unerwünschte Zuständigkeit des Schiedsgerichts - noch bevor eine konkrete Meinungsverschiedenheit in Erscheinung tritt - durch Kündigung zu umgehen, worauf die Beschwerdegegnerinnen zutreffend hinweisen. Eine derartige Regelung erscheint unter praktischen Gesichtspunkten nicht als sachgerecht, weshalb nicht leichthin anzunehmen ist, die Parteien hätten eine entsprechende Lösung treffen wollen.</w:t>
      </w:r>
    </w:p>
    <w:p>
      <w:r>
        <w:rPr>
          <w:b/>
        </w:rPr>
        <w:t>E. 3.3.5</w:t>
      </w:r>
    </w:p>
    <w:p>
      <w:r>
        <w:t>Entgegen der in der Beschwerde vertretenen Ansicht lässt sich aus Ziffern 8.2 lit. f und 8.3 lit. d keine "eindeutige vertragliche Willenskundgabe" ableiten, Meinungsverschiedenheiten aus oder im Zusammenhang mit dem Lizenzvertrag vom 22. Februar 2006 bis zur Kündigung einem vertraglich vorgesehenen Schiedsgericht zu unterbreiten, dagegen mit oder nach einer Kündigung entstehende Streitigkeiten im Zusammenhang mit dem Vertrag von einem nicht BGE 140 III 134 S. 144 näher bestimmten staatlichen Gericht entscheiden zu lassen. Eine Auslegung nach Treu und Glauben lässt vielmehr auf den mutmasslichen Willen der Parteien schliessen, unmittelbar mit der Beendigung des Patentlizenzvertrags zusammenhängende Streitigkeiten dem in Ziffer 11 vorgesehenen Schiedsgericht zu unterbreiten. Das Schiedsgericht hat sich daher zu Recht für zuständig erklärt, über die gestellten Klageanträge, die in unmittelbarem Zusammenhang mit der Abwicklung und Beendigung des Lizenzvertrags stehen,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